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071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</w:t>
      </w:r>
      <w:r>
        <w:rPr>
          <w:rFonts w:ascii="Times New Roman" w:eastAsia="Times New Roman" w:hAnsi="Times New Roman" w:cs="Times New Roman"/>
          <w:sz w:val="28"/>
          <w:szCs w:val="28"/>
        </w:rPr>
        <w:t>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0392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64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старшего инспектора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группы организации охраны объектов, подлежащих обязательной охране </w:t>
      </w:r>
      <w:r>
        <w:rPr>
          <w:rFonts w:ascii="Times New Roman" w:eastAsia="Times New Roman" w:hAnsi="Times New Roman" w:cs="Times New Roman"/>
          <w:sz w:val="28"/>
          <w:szCs w:val="28"/>
        </w:rPr>
        <w:t>Кондратьевой О.А.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 1 ст. 20.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должностного лица – директора муниципального учреждения «</w:t>
      </w:r>
      <w:r>
        <w:rPr>
          <w:rStyle w:val="cat-UserDefinedgrp-54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UserDefinedgrp-5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директора </w:t>
      </w:r>
      <w:r>
        <w:rPr>
          <w:rStyle w:val="cat-UserDefinedgrp-5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61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 к административной ответственности 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Style w:val="cat-UserDefinedgrp-57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являясь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директором </w:t>
      </w:r>
      <w:r>
        <w:rPr>
          <w:rStyle w:val="cat-UserDefinedgrp-58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61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предпринял все зависящие от него меры по соблюдению исполнения законодательства в области обеспечения антитеррористической защищенности объекта культуры Дом культуры «</w:t>
      </w:r>
      <w:r>
        <w:rPr>
          <w:rStyle w:val="cat-UserDefinedgrp-59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61rplc-2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Сургутский район, </w:t>
      </w:r>
      <w:r>
        <w:rPr>
          <w:rStyle w:val="cat-UserDefinedgrp-60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а следовательно, совершил административное правонарушение, ответственность за которое предусмотрена частью 1 статьи 20.35 Кодекса Российской Федерации об административных правонарушениях - нарушение требований к антитеррористической защищенности объектов (территорий), за исключением случаев, предусмотренных частью 2 статьи 20.35, статьями 11.15.1 и 20.30 КоАП РФ, если эти действия не содержат признаков уголовно наказуемого деяния, выразившееся в форме бездействия в виде не оборудования объекта Дом культуры «</w:t>
      </w:r>
      <w:r>
        <w:rPr>
          <w:rStyle w:val="cat-UserDefinedgrp-59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61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системами экстренного оповещения работников объектов (территорий) и иных лиц, находящихся на объектах (территориях), о потенциальной угрозе возникновения или о возникновении чрезвычайной ситуации, так как имеющаяся на объекте система охранно-пожарной сигнализации и оповещения людей о пожаре, не имеет возможности использования микрофона и не является системой экстренного оповещения работников объектов (территорий) и иных лиц, находящихся на объекте (территории), о потенциальной угрозе возникновения или о возникновении чрезвычайной ситуации, то есть нарушение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«з» п. 25 постановления Правительства РФ от 11.02.2017 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 (далее — ПП 176). Действие (бездействие) директора МУ «</w:t>
      </w:r>
      <w:r>
        <w:rPr>
          <w:rStyle w:val="cat-UserDefinedgrp-61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UserDefinedgrp-55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относятся к случаям, предусмотренным ч. 2 ст. 20.35 КоАП РФ, статьям 11.15.1 и 20.30 КоАП РФ, и не содержат признаков уголовно наказуемого деяния.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 совершенного правонарушения подтверждается информацией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межмуниципального отдела вневедомственной охраны – филиала ФГКУ «УВО ВНГ России по ХМАО-Югре»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Style w:val="cat-UserDefinedgrp-57rplc-3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судебном заседании с правонарушением соглас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ился, пояснил, что в настоящее время он принимает меры к устранению недостатков, объект культуры к нему поступил в 2018 году, замечаний никогда не </w:t>
      </w:r>
      <w:r>
        <w:rPr>
          <w:rFonts w:ascii="Times New Roman" w:eastAsia="Times New Roman" w:hAnsi="Times New Roman" w:cs="Times New Roman"/>
          <w:sz w:val="28"/>
          <w:szCs w:val="28"/>
        </w:rPr>
        <w:t>было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нарушению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требований к антитеррористической защищенности объект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сфере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Он сделал заявки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главы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</w:rPr>
        <w:t>Лянтора</w:t>
      </w:r>
      <w:r>
        <w:rPr>
          <w:rFonts w:ascii="Times New Roman" w:eastAsia="Times New Roman" w:hAnsi="Times New Roman" w:cs="Times New Roman"/>
          <w:sz w:val="28"/>
          <w:szCs w:val="28"/>
        </w:rPr>
        <w:t>, но ему отвили, что денежных средств у города на балансе нет.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Старший </w:t>
      </w:r>
      <w:r>
        <w:rPr>
          <w:rFonts w:ascii="Times New Roman" w:eastAsia="Times New Roman" w:hAnsi="Times New Roman" w:cs="Times New Roman"/>
          <w:sz w:val="28"/>
          <w:szCs w:val="28"/>
        </w:rPr>
        <w:t>инспектор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группы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 охраны объектов, подлежащих обязательной охране </w:t>
      </w:r>
      <w:r>
        <w:rPr>
          <w:rStyle w:val="cat-UserDefinedgrp-62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пояснила,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 директора объекта культуры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устранению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требований к антитеррористической защищенности объект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сфере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были своевременными и достаточными. Он стал предпринимать меры только после проверки со стороны органа контроля, то есть после 15.01.2026 года. На объекте не было оборудована система оповещения людей,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находящихся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объектах, о потенциальной угрозе возникновения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или возникновении чрезвычайных ситуаций</w:t>
      </w:r>
      <w:r>
        <w:rPr>
          <w:rFonts w:ascii="Times New Roman" w:eastAsia="Times New Roman" w:hAnsi="Times New Roman" w:cs="Times New Roman"/>
          <w:sz w:val="28"/>
          <w:szCs w:val="28"/>
        </w:rPr>
        <w:t>, чем нарушены требования Постановления правительства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РФ №176. Если бы ранее </w:t>
      </w:r>
      <w:r>
        <w:rPr>
          <w:rStyle w:val="cat-UserDefinedgrp-57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прилагал усилия к оборудованию системы оповещения, какие он принимает после проверки, то протокол был бы составлен на учредителя, то есть на Администрацию.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63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подтверждается следующими доказательствами: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административном правонарушении от 28.01.2026 г. /л.д.7-12/, рапортом от 29.04.2025 г. /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15-16/, объяснением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63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/л.д.11-13/,</w:t>
      </w:r>
      <w:r>
        <w:rPr>
          <w:rFonts w:ascii="Times New Roman" w:eastAsia="Times New Roman" w:hAnsi="Times New Roman" w:cs="Times New Roman"/>
          <w:sz w:val="28"/>
          <w:szCs w:val="28"/>
        </w:rPr>
        <w:t>рапортом от 29.04.2025 г. /</w:t>
      </w:r>
      <w:r>
        <w:rPr>
          <w:rFonts w:ascii="Times New Roman" w:eastAsia="Times New Roman" w:hAnsi="Times New Roman" w:cs="Times New Roman"/>
          <w:sz w:val="28"/>
          <w:szCs w:val="28"/>
        </w:rPr>
        <w:t>л.д</w:t>
      </w:r>
      <w:r>
        <w:rPr>
          <w:rFonts w:ascii="Times New Roman" w:eastAsia="Times New Roman" w:hAnsi="Times New Roman" w:cs="Times New Roman"/>
          <w:sz w:val="28"/>
          <w:szCs w:val="28"/>
        </w:rPr>
        <w:t>. 14-16/, объяснением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63rplc-5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/л.д.11-13/,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акта обследования объекта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28.01.2026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/л.д.</w:t>
      </w:r>
      <w:r>
        <w:rPr>
          <w:rFonts w:ascii="Times New Roman" w:eastAsia="Times New Roman" w:hAnsi="Times New Roman" w:cs="Times New Roman"/>
          <w:sz w:val="28"/>
          <w:szCs w:val="28"/>
        </w:rPr>
        <w:t>78-82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о вступлении в должность директора от 09.01.2014 г. № 1лс, /л.д.-7/,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должностной инструкцией директора МУ «</w:t>
      </w:r>
      <w:r>
        <w:rPr>
          <w:rStyle w:val="cat-UserDefinedgrp-61rplc-5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UserDefinedgrp-63rplc-6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/л.д.7-12/;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>
        <w:rPr>
          <w:rFonts w:ascii="Times New Roman" w:eastAsia="Times New Roman" w:hAnsi="Times New Roman" w:cs="Times New Roman"/>
          <w:sz w:val="28"/>
          <w:szCs w:val="28"/>
        </w:rPr>
        <w:t>решения о проведении проверки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рапорта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майора полиции </w:t>
      </w:r>
      <w:r>
        <w:rPr>
          <w:rStyle w:val="cat-UserDefinedgrp-64rplc-6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 л., в 1 экз.;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sz w:val="28"/>
          <w:szCs w:val="28"/>
        </w:rPr>
        <w:t>ребование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явке для составления административного протокола с отметкой о получении,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правк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РАИБД</w:t>
      </w:r>
      <w:r>
        <w:rPr>
          <w:rFonts w:ascii="Times New Roman" w:eastAsia="Times New Roman" w:hAnsi="Times New Roman" w:cs="Times New Roman"/>
          <w:sz w:val="28"/>
          <w:szCs w:val="28"/>
        </w:rPr>
        <w:t>; 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мирового суда от 15 июля 2025 г. по делу № 05-0640/1505/2025;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выписки ЕГРЮЛ </w:t>
      </w:r>
      <w:r>
        <w:rPr>
          <w:rFonts w:ascii="Times New Roman" w:eastAsia="Times New Roman" w:hAnsi="Times New Roman" w:cs="Times New Roman"/>
          <w:sz w:val="28"/>
          <w:szCs w:val="28"/>
        </w:rPr>
        <w:t>МУ «</w:t>
      </w:r>
      <w:r>
        <w:rPr>
          <w:rStyle w:val="cat-UserDefinedgrp-61rplc-6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видетельство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ОГРН;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 «</w:t>
      </w:r>
      <w:r>
        <w:rPr>
          <w:rStyle w:val="cat-UserDefinedgrp-61rplc-6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изменениями;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приеме на работу директора </w:t>
      </w:r>
      <w:r>
        <w:rPr>
          <w:rStyle w:val="cat-UserDefinedgrp-63rplc-6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 Трудов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 с изменениями </w:t>
      </w:r>
      <w:r>
        <w:rPr>
          <w:rStyle w:val="cat-UserDefinedgrp-63rplc-6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; д</w:t>
      </w:r>
      <w:r>
        <w:rPr>
          <w:rFonts w:ascii="Times New Roman" w:eastAsia="Times New Roman" w:hAnsi="Times New Roman" w:cs="Times New Roman"/>
          <w:sz w:val="28"/>
          <w:szCs w:val="28"/>
        </w:rPr>
        <w:t>олжностн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инструкци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директора учреждения;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риказ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12.11.2023 № 243 О назначении должностного лица, ответственного за выполнение мероприятий по обеспечению антитеррористической защищенности»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закреплении муниципального имущества;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ыписк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ЕГРН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объект;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 о создании комиссии;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ереписк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обследовании объекта от 2026 г.;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рапорта об обследовании объекта;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акта обследования и категорирования объекта;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листа согласования паспорта безопасности 2022 и акта обследования 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технической документации на систему ОПС;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электронного контракта на замену систему ОПС;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опи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писем-запросов о выделении финансирования на оборудование системы оповещения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3 ПП 176, ответственность за обеспечение антитеррористической защищенности объектов (территорий) </w:t>
      </w:r>
      <w:r>
        <w:rPr>
          <w:rFonts w:ascii="Times New Roman" w:eastAsia="Times New Roman" w:hAnsi="Times New Roman" w:cs="Times New Roman"/>
          <w:sz w:val="28"/>
          <w:szCs w:val="28"/>
        </w:rPr>
        <w:t>возлагается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руководителей органов (организаций) в сфере культуры, являющихся правообладателями объектов (территории),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 также на должностных лиц, осуществляющих непосредственное руководство деятельностью работников объектов (территорий).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п. 20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равительства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176 антитеррористическая защищенность объектов (территорий) обеспечивается путем осуществления мероприятий в целях: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воспрепятствования неправомерному проникновению на объекты (территории);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выявления </w:t>
      </w:r>
      <w:r>
        <w:rPr>
          <w:rFonts w:ascii="Times New Roman" w:eastAsia="Times New Roman" w:hAnsi="Times New Roman" w:cs="Times New Roman"/>
          <w:sz w:val="28"/>
          <w:szCs w:val="28"/>
        </w:rPr>
        <w:t>потенциальных нарушителей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установленных на объектах (территориях) режимов и (или) признаков подготовки или совершения террористического акта;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пресечения попыток совершения террористических актов на объектах (территориях);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минимизации возможных последствий и ликвидации угрозы террористических актов на объектах (территориях);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обеспечения защиты служебной информации 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антитеррористической защищенности объектов (территорий);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выявления и предотвращения несанкционированного проноса (провоза) на объект (территорию)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«в» п. 24 ПП 176 минимизация возможных последствий и ликвидации угрозы террористических актов на объектах (территориях) достигается посредством своевременного оповещения работников объектов (территорий) и иных лиц, находящихся на объектах (территориях), о безопасной и беспрепятственной эвакуации, обеспечения технических возможностей эвакуации. 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sz w:val="28"/>
          <w:szCs w:val="28"/>
        </w:rPr>
        <w:t>. «з» п. 25 ПП 176 в целях обеспечения необходимой степени антитеррористической защищенности объектов (территорий) независимо от присвоенной им категории осуществляется оборудование объектов (территорий) системами экстренного оповещения работников объектов (территорий) и иных лиц, находящихся на объектах (территориях), о потенциальной угрозе возникновения или о возникновении чрезвычайной ситуации.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nos" w:eastAsia="Tinos" w:hAnsi="Tinos" w:cs="Tinos"/>
          <w:sz w:val="28"/>
          <w:szCs w:val="28"/>
        </w:rPr>
        <w:t xml:space="preserve">Согласно </w:t>
      </w:r>
      <w:r>
        <w:rPr>
          <w:rFonts w:ascii="Tinos" w:eastAsia="Tinos" w:hAnsi="Tinos" w:cs="Tinos"/>
          <w:sz w:val="28"/>
          <w:szCs w:val="28"/>
        </w:rPr>
        <w:t>п. 2.6, 5.1</w:t>
      </w:r>
      <w:r>
        <w:rPr>
          <w:rFonts w:ascii="Tinos" w:eastAsia="Tinos" w:hAnsi="Tinos" w:cs="Tinos"/>
          <w:sz w:val="28"/>
          <w:szCs w:val="28"/>
        </w:rPr>
        <w:t xml:space="preserve"> Акта обследования и категорирования объекта, Дом культуры «</w:t>
      </w:r>
      <w:r>
        <w:rPr>
          <w:rStyle w:val="cat-UserDefinedgrp-59rplc-73"/>
          <w:rFonts w:ascii="Tinos" w:eastAsia="Tinos" w:hAnsi="Tinos" w:cs="Tinos"/>
          <w:sz w:val="28"/>
          <w:szCs w:val="28"/>
        </w:rPr>
        <w:t>...</w:t>
      </w:r>
      <w:r>
        <w:rPr>
          <w:rStyle w:val="cat-UserDefinedgrp-61rplc-74"/>
          <w:rFonts w:ascii="Tinos" w:eastAsia="Tinos" w:hAnsi="Tinos" w:cs="Tinos"/>
          <w:sz w:val="28"/>
          <w:szCs w:val="28"/>
        </w:rPr>
        <w:t>...</w:t>
      </w:r>
      <w:r>
        <w:rPr>
          <w:rFonts w:ascii="Tinos" w:eastAsia="Tinos" w:hAnsi="Tinos" w:cs="Tinos"/>
          <w:sz w:val="28"/>
          <w:szCs w:val="28"/>
        </w:rPr>
        <w:t xml:space="preserve">, расположенный по адресу: Сургутский район, </w:t>
      </w:r>
      <w:r>
        <w:rPr>
          <w:rStyle w:val="cat-UserDefinedgrp-60rplc-76"/>
          <w:rFonts w:ascii="Tinos" w:eastAsia="Tinos" w:hAnsi="Tinos" w:cs="Tinos"/>
          <w:sz w:val="28"/>
          <w:szCs w:val="28"/>
        </w:rPr>
        <w:t>...</w:t>
      </w:r>
      <w:r>
        <w:rPr>
          <w:rFonts w:ascii="Tinos" w:eastAsia="Tinos" w:hAnsi="Tinos" w:cs="Tinos"/>
          <w:sz w:val="28"/>
          <w:szCs w:val="28"/>
        </w:rPr>
        <w:t xml:space="preserve">, не оборудован системой экстренного оповещения работников объекта (территории) и иных лиц, находящихся на объектах (территориях), о потенциальной угрозе возникновения или о возникновении чрезвычайной ситуации, так как имеющаяся на объекте система охранно-пожарной сигнализации и оповещения людей о пожаре, не имеет возможности использования микрофона и не является системой экстренного оповещения работников объектов (территорий) и иных лиц, находящихся на объектах (территориях), о потенциальной угрозе возникновения или о возникновении чрезвычайной ситуации, что свидетельствует о нарушении </w:t>
      </w:r>
      <w:r>
        <w:rPr>
          <w:rFonts w:ascii="Tinos" w:eastAsia="Tinos" w:hAnsi="Tinos" w:cs="Tinos"/>
          <w:sz w:val="28"/>
          <w:szCs w:val="28"/>
        </w:rPr>
        <w:t>пп</w:t>
      </w:r>
      <w:r>
        <w:rPr>
          <w:rFonts w:ascii="Tinos" w:eastAsia="Tinos" w:hAnsi="Tinos" w:cs="Tinos"/>
          <w:sz w:val="28"/>
          <w:szCs w:val="28"/>
        </w:rPr>
        <w:t xml:space="preserve"> «з» п. 25 ПП 176.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Концепцией противодействия терроризму в РФ, утвержденной Президентом РФ 05.10.2009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 Федерального закона от 6 марта 2006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№ 35-ФЗ «О противодействии терроризму», 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 органов государственной власти.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4 ст. 3 Федерального закона от 06.03.2006 № 35-ФЗ «О противодействии терроризму», противодействие терроризму это деятельность органов государственной власти и органов местного самоуправления, а также физических и юридических лиц по: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выявлению, предупреждению, пресечению, раскрытию и расследованию террористического акта (борьба с терроризмом);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минимизации и (или) ликвидации последствий проявлений терроризма.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п.6 ст.3 Федерального закона от 06.03.2006 № 35-ФЗ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«О противодействии терроризму» антитеррористическая защищенность объекта (территории) -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п. 11 Концепции противодействия терроризму в Российской Федерации, утвержденной Президентом РФ 05.10.2009, одной из основных задач противодействия терроризму является обеспечение безопасности граждан и антитеррористической защищенности потенциальных объектов террористических посягательств, в том числе объектов с массовым пребыванием людей.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пункта 4 части 2 статьи 5 Федерального закона от 6 марта 2006 года № 35 - ФЗ «О противодействии терроризму»,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Невыполнение требований к антитеррористической защищенности объекта — Дома культуры «</w:t>
      </w:r>
      <w:r>
        <w:rPr>
          <w:rStyle w:val="cat-UserDefinedgrp-59rplc-8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61rplc-8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свидетельствует о нарушении законодательства о противодействии терроризму, создает угрозу жизни и здоровью неопределенного круга лиц, невозможность своевременного предупреждения и устранения последствий совершения террористического акта, противоречит охраняемым законом интересам общества и государства.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администрации городского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ХМАО-Югры № 675 от 24 декабря 2013 года на должность директора МУ «</w:t>
      </w:r>
      <w:r>
        <w:rPr>
          <w:rStyle w:val="cat-UserDefinedgrp-61rplc-8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назначен </w:t>
      </w:r>
      <w:r>
        <w:rPr>
          <w:rFonts w:ascii="Times New Roman" w:eastAsia="Times New Roman" w:hAnsi="Times New Roman" w:cs="Times New Roman"/>
          <w:sz w:val="28"/>
          <w:szCs w:val="28"/>
        </w:rPr>
        <w:t>Титовский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Владислав Васильевич, полномочия которого определены трудовым договором без номера от 31 декабря 2013 года в </w:t>
      </w:r>
      <w:r>
        <w:rPr>
          <w:rFonts w:ascii="Times New Roman" w:eastAsia="Times New Roman" w:hAnsi="Times New Roman" w:cs="Times New Roman"/>
          <w:sz w:val="28"/>
          <w:szCs w:val="28"/>
        </w:rPr>
        <w:t>редакции дополнительных соглашений 2014, 2025 годов на неопределенный срок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разделом 5 Устава МУ «</w:t>
      </w:r>
      <w:r>
        <w:rPr>
          <w:rStyle w:val="cat-UserDefinedgrp-61rplc-9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утвержденного, 14 марта 2018 г., разделом 3 должностной инструкции, утвержденной 10 января 2014 года, руководство деятельностью учреждения осуществляет директор, который без доверенности действует от имени учреждения, представляет его в государственных органах, органах местного самоуправления, организациях различных форм собственности, судах, органах дознания и следствия; использует имущество и распоряжается средствами учреждения, заключает договоры с организациями различных форм собственности, выдает доверенности, открывает лицевые счета; издает приказы и распоряжения, организует контроль за их исполнением; осуществляет функции работодателя в отношении работников учреждения, то есть выполняет организационно-распорядительные и административно-хозяйственные функции. В соответствии с разделом 5 должностной инструкции директор несет ответственность за жизнь и здоровье работников, за выполнение требований по технике безопасности, охране труда, санитарных норм; за действие, бездействие или неправильные действия, влекущие к нарушению прав и законных интересов граждан. </w:t>
      </w:r>
    </w:p>
    <w:p>
      <w:pPr>
        <w:widowControl w:val="0"/>
        <w:tabs>
          <w:tab w:val="left" w:pos="709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В примечании к ст.2.4 КоАП РФ указано, что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</w:t>
      </w:r>
      <w:r>
        <w:rPr>
          <w:rFonts w:ascii="Times New Roman" w:eastAsia="Times New Roman" w:hAnsi="Times New Roman" w:cs="Times New Roman"/>
          <w:sz w:val="28"/>
          <w:szCs w:val="28"/>
        </w:rPr>
        <w:t>работники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несут административную ответственность как должностные лица.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другими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атери</w:t>
      </w:r>
      <w:r>
        <w:rPr>
          <w:rFonts w:ascii="Times New Roman" w:eastAsia="Times New Roman" w:hAnsi="Times New Roman" w:cs="Times New Roman"/>
          <w:sz w:val="28"/>
          <w:szCs w:val="28"/>
        </w:rPr>
        <w:t>алами дела об административном 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выслушав мнение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старшего 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группы организации охраны объектов, подлежащих обязательной охране </w:t>
      </w:r>
      <w:r>
        <w:rPr>
          <w:rFonts w:ascii="Times New Roman" w:eastAsia="Times New Roman" w:hAnsi="Times New Roman" w:cs="Times New Roman"/>
          <w:sz w:val="28"/>
          <w:szCs w:val="28"/>
        </w:rPr>
        <w:t>Кондратьевой О.А.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полагавш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>, что вин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63rplc-9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 доказана собранными по делу доказательствами и 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 </w:t>
      </w:r>
      <w:r>
        <w:rPr>
          <w:rFonts w:ascii="Times New Roman" w:eastAsia="Times New Roman" w:hAnsi="Times New Roman" w:cs="Times New Roman"/>
          <w:sz w:val="28"/>
          <w:szCs w:val="28"/>
        </w:rPr>
        <w:t>привлечь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минимальном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приходит к выводу, что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63rplc-9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арушение </w:t>
      </w:r>
      <w:hyperlink r:id="rId4" w:anchor="/multilink/12125267/paragraph/925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 антитеррористической защищенности объектов (территорий)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 действия не содержат признаков уголовно наказуемого деяния, </w:t>
      </w:r>
      <w:r>
        <w:rPr>
          <w:rFonts w:ascii="Times New Roman" w:eastAsia="Times New Roman" w:hAnsi="Times New Roman" w:cs="Times New Roman"/>
          <w:sz w:val="28"/>
          <w:szCs w:val="28"/>
        </w:rPr>
        <w:t>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UserDefinedgrp-63rplc-9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арушение </w:t>
      </w:r>
      <w:hyperlink r:id="rId4" w:anchor="/multilink/12125267/paragraph/925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 антитеррористической защищенности объектов (территорий)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 действия не содержат призна</w:t>
      </w:r>
      <w:r>
        <w:rPr>
          <w:rFonts w:ascii="Times New Roman" w:eastAsia="Times New Roman" w:hAnsi="Times New Roman" w:cs="Times New Roman"/>
          <w:sz w:val="28"/>
          <w:szCs w:val="28"/>
        </w:rPr>
        <w:t>ков уголовно наказуемого деяния.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арушение </w:t>
      </w:r>
      <w:hyperlink r:id="rId4" w:anchor="/multilink/12125267/paragraph/925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</w:t>
      </w:r>
      <w:hyperlink r:id="rId4" w:anchor="/document/12125267/entry/2035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</w:t>
      </w:r>
      <w:hyperlink r:id="rId4" w:anchor="/document/12125267/entry/1115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статьями 11.15.1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4" w:anchor="/document/12125267/entry/203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20.30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Кодекса, если эти действия не содержат признаков уголовно наказуемого деяния, -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в соответствии ст. 4.2 Кодекса Российской Федерации об административных правонарушениях, является признание вины должностным лицом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принятие меру к </w:t>
      </w:r>
      <w:r>
        <w:rPr>
          <w:rFonts w:ascii="Times New Roman" w:eastAsia="Times New Roman" w:hAnsi="Times New Roman" w:cs="Times New Roman"/>
          <w:sz w:val="28"/>
          <w:szCs w:val="28"/>
        </w:rPr>
        <w:t>устранени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multilink/12125267/paragraph/9252/number/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 антитеррористической защищенности объекта.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должностного лица, отсутствие отягчающих обстоятельств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 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8"/>
          <w:szCs w:val="28"/>
        </w:rPr>
        <w:t>– директора муниципального учреждения «</w:t>
      </w:r>
      <w:r>
        <w:rPr>
          <w:rStyle w:val="cat-UserDefinedgrp-54rplc-10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Style w:val="cat-UserDefinedgrp-55rplc-10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министративных правонарушениях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 рублей.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Style w:val="cat-UserDefinedgrp-65rplc-10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40102810245370000007, ОКЦ № 8 УГУ Банка России//УФК по Ханты-Мансийскому автономному округу – Югре г. Ханты-Мансийск, БИК 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0412365400325000712620133</w:t>
      </w:r>
      <w:r>
        <w:rPr>
          <w:rFonts w:ascii="Times New Roman" w:eastAsia="Times New Roman" w:hAnsi="Times New Roman" w:cs="Times New Roman"/>
          <w:sz w:val="28"/>
          <w:szCs w:val="28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05-0071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/1505/202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Сургутский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>
        <w:rPr>
          <w:rFonts w:ascii="Times New Roman" w:eastAsia="Times New Roman" w:hAnsi="Times New Roman" w:cs="Times New Roman"/>
          <w:sz w:val="28"/>
          <w:szCs w:val="28"/>
        </w:rPr>
        <w:t>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2021673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54rplc-9">
    <w:name w:val="cat-UserDefined grp-54 rplc-9"/>
    <w:basedOn w:val="DefaultParagraphFont"/>
  </w:style>
  <w:style w:type="character" w:customStyle="1" w:styleId="cat-UserDefinedgrp-55rplc-11">
    <w:name w:val="cat-UserDefined grp-55 rplc-11"/>
    <w:basedOn w:val="DefaultParagraphFont"/>
  </w:style>
  <w:style w:type="character" w:customStyle="1" w:styleId="cat-UserDefinedgrp-56rplc-12">
    <w:name w:val="cat-UserDefined grp-56 rplc-12"/>
    <w:basedOn w:val="DefaultParagraphFont"/>
  </w:style>
  <w:style w:type="character" w:customStyle="1" w:styleId="cat-UserDefinedgrp-61rplc-13">
    <w:name w:val="cat-UserDefined grp-61 rplc-13"/>
    <w:basedOn w:val="DefaultParagraphFont"/>
  </w:style>
  <w:style w:type="character" w:customStyle="1" w:styleId="cat-UserDefinedgrp-57rplc-22">
    <w:name w:val="cat-UserDefined grp-57 rplc-22"/>
    <w:basedOn w:val="DefaultParagraphFont"/>
  </w:style>
  <w:style w:type="character" w:customStyle="1" w:styleId="cat-UserDefinedgrp-58rplc-23">
    <w:name w:val="cat-UserDefined grp-58 rplc-23"/>
    <w:basedOn w:val="DefaultParagraphFont"/>
  </w:style>
  <w:style w:type="character" w:customStyle="1" w:styleId="cat-UserDefinedgrp-61rplc-24">
    <w:name w:val="cat-UserDefined grp-61 rplc-24"/>
    <w:basedOn w:val="DefaultParagraphFont"/>
  </w:style>
  <w:style w:type="character" w:customStyle="1" w:styleId="cat-UserDefinedgrp-59rplc-27">
    <w:name w:val="cat-UserDefined grp-59 rplc-27"/>
    <w:basedOn w:val="DefaultParagraphFont"/>
  </w:style>
  <w:style w:type="character" w:customStyle="1" w:styleId="cat-UserDefinedgrp-61rplc-28">
    <w:name w:val="cat-UserDefined grp-61 rplc-28"/>
    <w:basedOn w:val="DefaultParagraphFont"/>
  </w:style>
  <w:style w:type="character" w:customStyle="1" w:styleId="cat-UserDefinedgrp-60rplc-30">
    <w:name w:val="cat-UserDefined grp-60 rplc-30"/>
    <w:basedOn w:val="DefaultParagraphFont"/>
  </w:style>
  <w:style w:type="character" w:customStyle="1" w:styleId="cat-UserDefinedgrp-59rplc-31">
    <w:name w:val="cat-UserDefined grp-59 rplc-31"/>
    <w:basedOn w:val="DefaultParagraphFont"/>
  </w:style>
  <w:style w:type="character" w:customStyle="1" w:styleId="cat-UserDefinedgrp-61rplc-32">
    <w:name w:val="cat-UserDefined grp-61 rplc-32"/>
    <w:basedOn w:val="DefaultParagraphFont"/>
  </w:style>
  <w:style w:type="character" w:customStyle="1" w:styleId="cat-UserDefinedgrp-61rplc-34">
    <w:name w:val="cat-UserDefined grp-61 rplc-34"/>
    <w:basedOn w:val="DefaultParagraphFont"/>
  </w:style>
  <w:style w:type="character" w:customStyle="1" w:styleId="cat-UserDefinedgrp-55rplc-36">
    <w:name w:val="cat-UserDefined grp-55 rplc-36"/>
    <w:basedOn w:val="DefaultParagraphFont"/>
  </w:style>
  <w:style w:type="character" w:customStyle="1" w:styleId="cat-UserDefinedgrp-57rplc-39">
    <w:name w:val="cat-UserDefined grp-57 rplc-39"/>
    <w:basedOn w:val="DefaultParagraphFont"/>
  </w:style>
  <w:style w:type="character" w:customStyle="1" w:styleId="cat-UserDefinedgrp-62rplc-44">
    <w:name w:val="cat-UserDefined grp-62 rplc-44"/>
    <w:basedOn w:val="DefaultParagraphFont"/>
  </w:style>
  <w:style w:type="character" w:customStyle="1" w:styleId="cat-UserDefinedgrp-57rplc-47">
    <w:name w:val="cat-UserDefined grp-57 rplc-47"/>
    <w:basedOn w:val="DefaultParagraphFont"/>
  </w:style>
  <w:style w:type="character" w:customStyle="1" w:styleId="cat-UserDefinedgrp-63rplc-49">
    <w:name w:val="cat-UserDefined grp-63 rplc-49"/>
    <w:basedOn w:val="DefaultParagraphFont"/>
  </w:style>
  <w:style w:type="character" w:customStyle="1" w:styleId="cat-UserDefinedgrp-63rplc-53">
    <w:name w:val="cat-UserDefined grp-63 rplc-53"/>
    <w:basedOn w:val="DefaultParagraphFont"/>
  </w:style>
  <w:style w:type="character" w:customStyle="1" w:styleId="cat-UserDefinedgrp-63rplc-56">
    <w:name w:val="cat-UserDefined grp-63 rplc-56"/>
    <w:basedOn w:val="DefaultParagraphFont"/>
  </w:style>
  <w:style w:type="character" w:customStyle="1" w:styleId="cat-UserDefinedgrp-61rplc-59">
    <w:name w:val="cat-UserDefined grp-61 rplc-59"/>
    <w:basedOn w:val="DefaultParagraphFont"/>
  </w:style>
  <w:style w:type="character" w:customStyle="1" w:styleId="cat-UserDefinedgrp-63rplc-61">
    <w:name w:val="cat-UserDefined grp-63 rplc-61"/>
    <w:basedOn w:val="DefaultParagraphFont"/>
  </w:style>
  <w:style w:type="character" w:customStyle="1" w:styleId="cat-UserDefinedgrp-64rplc-63">
    <w:name w:val="cat-UserDefined grp-64 rplc-63"/>
    <w:basedOn w:val="DefaultParagraphFont"/>
  </w:style>
  <w:style w:type="character" w:customStyle="1" w:styleId="cat-UserDefinedgrp-61rplc-65">
    <w:name w:val="cat-UserDefined grp-61 rplc-65"/>
    <w:basedOn w:val="DefaultParagraphFont"/>
  </w:style>
  <w:style w:type="character" w:customStyle="1" w:styleId="cat-UserDefinedgrp-61rplc-66">
    <w:name w:val="cat-UserDefined grp-61 rplc-66"/>
    <w:basedOn w:val="DefaultParagraphFont"/>
  </w:style>
  <w:style w:type="character" w:customStyle="1" w:styleId="cat-UserDefinedgrp-63rplc-68">
    <w:name w:val="cat-UserDefined grp-63 rplc-68"/>
    <w:basedOn w:val="DefaultParagraphFont"/>
  </w:style>
  <w:style w:type="character" w:customStyle="1" w:styleId="cat-UserDefinedgrp-63rplc-69">
    <w:name w:val="cat-UserDefined grp-63 rplc-69"/>
    <w:basedOn w:val="DefaultParagraphFont"/>
  </w:style>
  <w:style w:type="character" w:customStyle="1" w:styleId="cat-UserDefinedgrp-59rplc-73">
    <w:name w:val="cat-UserDefined grp-59 rplc-73"/>
    <w:basedOn w:val="DefaultParagraphFont"/>
  </w:style>
  <w:style w:type="character" w:customStyle="1" w:styleId="cat-UserDefinedgrp-61rplc-74">
    <w:name w:val="cat-UserDefined grp-61 rplc-74"/>
    <w:basedOn w:val="DefaultParagraphFont"/>
  </w:style>
  <w:style w:type="character" w:customStyle="1" w:styleId="cat-UserDefinedgrp-60rplc-76">
    <w:name w:val="cat-UserDefined grp-60 rplc-76"/>
    <w:basedOn w:val="DefaultParagraphFont"/>
  </w:style>
  <w:style w:type="character" w:customStyle="1" w:styleId="cat-UserDefinedgrp-59rplc-83">
    <w:name w:val="cat-UserDefined grp-59 rplc-83"/>
    <w:basedOn w:val="DefaultParagraphFont"/>
  </w:style>
  <w:style w:type="character" w:customStyle="1" w:styleId="cat-UserDefinedgrp-61rplc-84">
    <w:name w:val="cat-UserDefined grp-61 rplc-84"/>
    <w:basedOn w:val="DefaultParagraphFont"/>
  </w:style>
  <w:style w:type="character" w:customStyle="1" w:styleId="cat-UserDefinedgrp-61rplc-87">
    <w:name w:val="cat-UserDefined grp-61 rplc-87"/>
    <w:basedOn w:val="DefaultParagraphFont"/>
  </w:style>
  <w:style w:type="character" w:customStyle="1" w:styleId="cat-UserDefinedgrp-61rplc-91">
    <w:name w:val="cat-UserDefined grp-61 rplc-91"/>
    <w:basedOn w:val="DefaultParagraphFont"/>
  </w:style>
  <w:style w:type="character" w:customStyle="1" w:styleId="cat-UserDefinedgrp-63rplc-96">
    <w:name w:val="cat-UserDefined grp-63 rplc-96"/>
    <w:basedOn w:val="DefaultParagraphFont"/>
  </w:style>
  <w:style w:type="character" w:customStyle="1" w:styleId="cat-UserDefinedgrp-63rplc-98">
    <w:name w:val="cat-UserDefined grp-63 rplc-98"/>
    <w:basedOn w:val="DefaultParagraphFont"/>
  </w:style>
  <w:style w:type="character" w:customStyle="1" w:styleId="cat-UserDefinedgrp-63rplc-99">
    <w:name w:val="cat-UserDefined grp-63 rplc-99"/>
    <w:basedOn w:val="DefaultParagraphFont"/>
  </w:style>
  <w:style w:type="character" w:customStyle="1" w:styleId="cat-UserDefinedgrp-54rplc-105">
    <w:name w:val="cat-UserDefined grp-54 rplc-105"/>
    <w:basedOn w:val="DefaultParagraphFont"/>
  </w:style>
  <w:style w:type="character" w:customStyle="1" w:styleId="cat-UserDefinedgrp-55rplc-106">
    <w:name w:val="cat-UserDefined grp-55 rplc-106"/>
    <w:basedOn w:val="DefaultParagraphFont"/>
  </w:style>
  <w:style w:type="character" w:customStyle="1" w:styleId="cat-UserDefinedgrp-65rplc-109">
    <w:name w:val="cat-UserDefined grp-65 rplc-10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5CF96-49DA-4578-BFC4-B0C5BDF5CB0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